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REPUBBLICA ITALIANA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IL TRIBUNALE  DI  SORVEGLIANZA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il distretto della Corte di Appello di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G  E  N  O  V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ORDINANZA N°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PROC. N° 2010/</w:t>
      </w:r>
      <w:r w:rsidDel="00000000" w:rsidR="00000000" w:rsidRPr="00000000">
        <w:rPr>
          <w:b w:val="1"/>
          <w:bCs w:val="1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persona dei signori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DOTT.   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DOTT.   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Magistrato di sorveglianza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DOTT.   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Esperto componente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DOTT.              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Esperto componente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emette la seguente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             O R D I N A N Z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nel procedimento di sorveglianza relativo alla concessione di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affidamento in prova al servizio sociale di tipo  ordinario e detenzione domiciliare dalla detenzione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nei confronti di: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nato in a </w:t>
      </w:r>
      <w:r w:rsidDel="00000000" w:rsidR="00000000" w:rsidRPr="00000000">
        <w:rPr>
          <w:sz w:val="26"/>
          <w:szCs w:val="26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il </w:t>
      </w:r>
      <w:r w:rsidDel="00000000" w:rsidR="00000000" w:rsidRPr="00000000">
        <w:rPr>
          <w:sz w:val="26"/>
          <w:szCs w:val="26"/>
          <w:rtl w:val="0"/>
        </w:rPr>
        <w:t xml:space="preserve">XX.XX.XX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 in atto detenuto presso la Casa circondariale della</w:t>
      </w:r>
      <w:r w:rsidDel="00000000" w:rsidR="00000000" w:rsidRPr="00000000">
        <w:rPr>
          <w:sz w:val="26"/>
          <w:szCs w:val="26"/>
          <w:rtl w:val="0"/>
        </w:rPr>
        <w:t xml:space="preserve"> 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difeso dall’  avv. STEFANIA FIORE, del Foro di GENOVA, di fiducia;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VISTI gli atti del procedimento di sorveglianza come sopra  specificato 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VERIFICATA, preliminarmente, la regolarità delle comunicazioni e delle notificazioni degli avvisi al    rappresentante  del P.M., all’interessato ed al difensore;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CONSIDERATE  le risultanze delle documentazioni acquisite, delle investigazioni e degli accertamenti svolti della trattazione e della discussione di cui a separato processo verbale;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UDITE le conclusioni del rappresentante del P.M. e del difensore;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       O S  S  E  R  V 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CONSIDERATO che il CONDANNATO  ha formulato istanza di affidamento in prova ai sensi dell’art. 47 O.P. e di detenzione domiciliare dallo stato di detenzione in relazione alla pena residua di cui alla condanna emessa dal GUP del Tribunale della </w:t>
      </w:r>
      <w:r w:rsidDel="00000000" w:rsidR="00000000" w:rsidRPr="00000000">
        <w:rPr>
          <w:sz w:val="26"/>
          <w:szCs w:val="26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in data </w:t>
      </w:r>
      <w:r w:rsidDel="00000000" w:rsidR="00000000" w:rsidRPr="00000000">
        <w:rPr>
          <w:sz w:val="26"/>
          <w:szCs w:val="26"/>
          <w:rtl w:val="0"/>
        </w:rPr>
        <w:t xml:space="preserve">XX.XX.XX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pari a due anni e dieci mesi di reclusione per violazione dell’art. 73   TULS commesso  nel </w:t>
      </w:r>
      <w:r w:rsidDel="00000000" w:rsidR="00000000" w:rsidRPr="00000000">
        <w:rPr>
          <w:sz w:val="26"/>
          <w:szCs w:val="26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(detenzione illecita di circa 500 grammi di cocaina in concorso) 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AVUTO PRESENTE che l’interessato ha prospettato nella domanda in esame un riferimento abitativo in ambiente esterno in </w:t>
      </w:r>
      <w:r w:rsidDel="00000000" w:rsidR="00000000" w:rsidRPr="00000000">
        <w:rPr>
          <w:sz w:val="26"/>
          <w:szCs w:val="26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presso il domicilio della </w:t>
      </w:r>
      <w:r w:rsidDel="00000000" w:rsidR="00000000" w:rsidRPr="00000000">
        <w:rPr>
          <w:sz w:val="26"/>
          <w:szCs w:val="26"/>
          <w:rtl w:val="0"/>
        </w:rPr>
        <w:t xml:space="preserve">XX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sito in via </w:t>
      </w:r>
      <w:r w:rsidDel="00000000" w:rsidR="00000000" w:rsidRPr="00000000">
        <w:rPr>
          <w:sz w:val="26"/>
          <w:szCs w:val="26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senza peraltro allegare alla domanda una attività lavorativa o risocializzante;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CONSIDERATO che il condannato ha precedenti penali per rissa (</w:t>
      </w:r>
      <w:r w:rsidDel="00000000" w:rsidR="00000000" w:rsidRPr="00000000">
        <w:rPr>
          <w:sz w:val="26"/>
          <w:szCs w:val="26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e due condanne per  guida in stato di ebbrezza (</w:t>
      </w:r>
      <w:r w:rsidDel="00000000" w:rsidR="00000000" w:rsidRPr="00000000">
        <w:rPr>
          <w:sz w:val="26"/>
          <w:szCs w:val="26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), mentre non emergono pendenze né denunce di polizia a suo carico;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RITENUTO che, anche alla luce della recente condanna non può essere formulata una prognosi favorevole in merito alle domande proposte, in quanto dall’indagine socio-familiare espletata dall’UEPE della </w:t>
      </w:r>
      <w:r w:rsidDel="00000000" w:rsidR="00000000" w:rsidRPr="00000000">
        <w:rPr>
          <w:sz w:val="26"/>
          <w:szCs w:val="26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emerge che i familiari non dispongono di un alloggio idoneo ad ospitare il congiunto (appartamento di ridotte dimensioni dove abitano tre persone);</w:t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                                                 PER QUESTI MOTIVI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Visti gli artt.   47, 47 ter co. 1 bis    O.P. 666, 678 c.p.p.;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RESPINGE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nei confronti di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 XX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come sopra generalizzato, le domande proposte in relazione alla pena residua di cui alla sentenza emessa dal GUP del Tribunale della</w:t>
      </w:r>
      <w:r w:rsidDel="00000000" w:rsidR="00000000" w:rsidRPr="00000000">
        <w:rPr>
          <w:sz w:val="26"/>
          <w:szCs w:val="26"/>
          <w:rtl w:val="0"/>
        </w:rPr>
        <w:t xml:space="preserve"> 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 in data </w:t>
      </w:r>
      <w:r w:rsidDel="00000000" w:rsidR="00000000" w:rsidRPr="00000000">
        <w:rPr>
          <w:sz w:val="26"/>
          <w:szCs w:val="26"/>
          <w:rtl w:val="0"/>
        </w:rPr>
        <w:t xml:space="preserve">XX.XX.XX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(n° 2009/</w:t>
      </w:r>
      <w:r w:rsidDel="00000000" w:rsidR="00000000" w:rsidRPr="00000000">
        <w:rPr>
          <w:sz w:val="26"/>
          <w:szCs w:val="26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SIEP).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GENOVA, 24.11.2010.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IL PRESIDENTE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(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MAGISTRATO ESTENSORE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(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XX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                          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ixNjT+6AlHiPZlpFDtRjhB2/Hw==">CgMxLjA4AHIhMUVwT1BrU1pBMndodGhqdHkza2Vna0V4Q3lZVFZac2h6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