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UFFICIO DI SORVEGLIANZA DI MASSA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 2024/</w:t>
      </w:r>
      <w:r w:rsidDel="00000000" w:rsidR="00000000" w:rsidRPr="00000000">
        <w:rPr>
          <w:sz w:val="26"/>
          <w:szCs w:val="26"/>
          <w:rtl w:val="0"/>
        </w:rPr>
        <w:t xml:space="preserve">XX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SIUS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Il Magistrato di Sorveglianza,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scioglimento della riserva espressa all’udienza del  15 ottobre 2024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VISTI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gli atti relativi alla eventuale applicazione della misura di sicurezza della LIBERTA’ VIGILATA per i periodo di UN ANNO e eventuale AGGRAVAMENTO in ricovero in casa di cura e custodia presso REMS , irrogata a </w:t>
      </w:r>
      <w:r w:rsidDel="00000000" w:rsidR="00000000" w:rsidRPr="00000000">
        <w:rPr>
          <w:b w:val="1"/>
          <w:bCs w:val="1"/>
          <w:sz w:val="26"/>
          <w:szCs w:val="26"/>
          <w:rtl w:val="0"/>
        </w:rPr>
        <w:t xml:space="preserve">XX</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detenuto presso la casa circondariale della </w:t>
      </w:r>
      <w:r w:rsidDel="00000000" w:rsidR="00000000" w:rsidRPr="00000000">
        <w:rPr>
          <w:sz w:val="26"/>
          <w:szCs w:val="26"/>
          <w:rtl w:val="0"/>
        </w:rPr>
        <w:t xml:space="preserve">XX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per altra causa;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difeso dall’avvocato </w:t>
      </w:r>
      <w:r w:rsidDel="00000000" w:rsidR="00000000" w:rsidRPr="00000000">
        <w:rPr>
          <w:sz w:val="26"/>
          <w:szCs w:val="26"/>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del foro di </w:t>
      </w:r>
      <w:r w:rsidDel="00000000" w:rsidR="00000000" w:rsidRPr="00000000">
        <w:rPr>
          <w:sz w:val="26"/>
          <w:szCs w:val="26"/>
          <w:rtl w:val="0"/>
        </w:rPr>
        <w:t xml:space="preserve">XX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di ufficio;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VISTA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altresì la richiesta di accertamento della pericolosità sociale ai fini della dichiarazione di eseguibilità della misura inoltrata dalla Procura della Repubblica presso il Tribunale di MASSA in data</w:t>
      </w:r>
      <w:r w:rsidDel="00000000" w:rsidR="00000000" w:rsidRPr="00000000">
        <w:rPr>
          <w:sz w:val="28"/>
          <w:szCs w:val="28"/>
          <w:rtl w:val="0"/>
        </w:rPr>
        <w:t xml:space="preserve"> XX</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RILEVATO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 si deve procedere, ai sensi dell’art. 679 c.p.p., all’esito della esecuzione pena, all’accertamento della pericolosità sociale attuale del predetto al fine di decidere in ordine alla effettiva esecuzione della misura di sicurezza sopra indicata;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CONSIDERATO,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 l’interessato è stato riconosciuto infermo totale di mente  in relazione a condotte di resistenza a pubblico ufficiale del </w:t>
      </w:r>
      <w:r w:rsidDel="00000000" w:rsidR="00000000" w:rsidRPr="00000000">
        <w:rPr>
          <w:sz w:val="28"/>
          <w:szCs w:val="28"/>
          <w:rtl w:val="0"/>
        </w:rPr>
        <w:t xml:space="preserve">XX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quanto affetto da disturbo borderlie di personalita’ associato a condotte di abuso di droga e alcool;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RILEVATO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 allo stato </w:t>
      </w:r>
      <w:r w:rsidDel="00000000" w:rsidR="00000000" w:rsidRPr="00000000">
        <w:rPr>
          <w:sz w:val="28"/>
          <w:szCs w:val="28"/>
          <w:rtl w:val="0"/>
        </w:rPr>
        <w:t xml:space="preserve">XX</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è sottoposto alla custodia cautelare in carcere in seguito a condotte di violazione della misura del divieto di avvicinamento all’abitazione familiare poste in essere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RITENUTO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  è dunque ragionevole ritenere che, in caso di applicazione della misura di sicurezza non detentiva l’interessato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verrebbe a trovarsi nelle medesime condizioni di vita, individuale e sociale  che lo hanno già portato a porre in essere gravi condotte antisociali , e che, pertanto, alla luce dei parametri di cui all’art. 133 c.p., deve essere aggravato il giudizio di pericolosità sociale formulato dal giudice di cognizione - intesa come probabile reiterazione di condotte criminose - e deve essere conseguentemente dichiarata la trasformazione in peius della misura della liberta’ vigilata con applicazione del ricovero in casa di cura e custodia in REMS per il periodo di UN ANNO;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P.Q.M.</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Visti gli artt. 202 e 203, 231  c.p,  677, 679 c.p.p.,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sentito il parere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conforme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del P.M.,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DICHIARA AGGRAVATA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 pericolosità sociale di </w:t>
      </w:r>
      <w:r w:rsidDel="00000000" w:rsidR="00000000" w:rsidRPr="00000000">
        <w:rPr>
          <w:b w:val="1"/>
          <w:bCs w:val="1"/>
          <w:sz w:val="28"/>
          <w:szCs w:val="28"/>
          <w:rtl w:val="0"/>
        </w:rPr>
        <w:t xml:space="preserve">XX</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come sopra generalizzato, e per l’effetto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APPLICA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al predetto, in sostituzione in peius della liberta’ vigilata per il periodo di UN ANNO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la misura di sicurezza della casa di cura e custodia per il periodo di UN ANNO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cui alla sentenza emessa dal TRIBUNALE della SPEZIA in data</w:t>
      </w:r>
      <w:r w:rsidDel="00000000" w:rsidR="00000000" w:rsidRPr="00000000">
        <w:rPr>
          <w:sz w:val="28"/>
          <w:szCs w:val="28"/>
          <w:rtl w:val="0"/>
        </w:rPr>
        <w:t xml:space="preserve"> XX</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MANDA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alla cancelleria per le comunicazioni e gli adempimenti di rito.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MASSA, 15 ottobre 2024  </w:t>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Il  Magistrato di Sorveglianza</w:t>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i w:val="1"/>
          <w:iCs w:val="1"/>
          <w:sz w:val="28"/>
          <w:szCs w:val="28"/>
          <w:rtl w:val="0"/>
        </w:rPr>
        <w:t xml:space="preserve">XX</w:t>
      </w:r>
      <w:r w:rsidDel="00000000" w:rsidR="00000000" w:rsidRPr="00000000">
        <w:rPr>
          <w:rtl w:val="0"/>
        </w:rPr>
      </w:r>
    </w:p>
    <w:sectPr>
      <w:headerReference r:id="rId7" w:type="default"/>
      <w:headerReference r:id="rId8" w:type="first"/>
      <w:pgSz w:h="16840" w:w="11907" w:orient="portrait"/>
      <w:pgMar w:bottom="1134" w:top="1418" w:left="1134" w:right="1304" w:header="56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lonna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lonna MT" w:cs="Colonna MT" w:eastAsia="Colonna MT" w:hAnsi="Colonna MT"/>
        <w:b w:val="0"/>
        <w:bCs w:val="0"/>
        <w:i w:val="0"/>
        <w:iCs w:val="0"/>
        <w:smallCaps w:val="0"/>
        <w:strike w:val="0"/>
        <w:color w:val="000000"/>
        <w:sz w:val="24"/>
        <w:szCs w:val="24"/>
        <w:u w:val="none"/>
        <w:shd w:fill="auto" w:val="clear"/>
        <w:vertAlign w:val="baseline"/>
      </w:rPr>
    </w:pPr>
    <w:r w:rsidDel="00000000" w:rsidR="00000000" w:rsidRPr="00000000">
      <w:rPr>
        <w:rFonts w:ascii="Colonna MT" w:cs="Colonna MT" w:eastAsia="Colonna MT" w:hAnsi="Colonna MT"/>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olonna MT" w:cs="Colonna MT" w:eastAsia="Colonna MT" w:hAnsi="Colonna MT"/>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EkJxsUWguURfyA8xxtLoheYiQ==">CgMxLjA4AHIhMVZQUmdjRDZFNUdCak5kUVlUWEx5R2xaQnBsNGRDbkFw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