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UFFICIO DI SORVEGLIANZA DI MASSA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 ord.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 2023/</w:t>
      </w:r>
      <w:r w:rsidDel="00000000" w:rsidR="00000000" w:rsidRPr="00000000">
        <w:rPr>
          <w:b w:val="1"/>
          <w:bCs w:val="1"/>
          <w:sz w:val="22"/>
          <w:szCs w:val="22"/>
          <w:rtl w:val="0"/>
        </w:rPr>
        <w:t xml:space="preserve">XX</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Il Magistrato di Sorveglianza,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scioglimento della riserva espressa all’udienza del  14 NOVEMBRE 2023,</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visti gli atti relativi alla misura di sicurezza della espulsione dal territorio dello Stato, irrogata a </w:t>
      </w:r>
      <w:r w:rsidDel="00000000" w:rsidR="00000000" w:rsidRPr="00000000">
        <w:rPr>
          <w:b w:val="1"/>
          <w:bCs w:val="1"/>
          <w:i w:val="1"/>
          <w:iCs w:val="1"/>
          <w:sz w:val="24"/>
          <w:szCs w:val="24"/>
          <w:rtl w:val="0"/>
        </w:rPr>
        <w:t xml:space="preserve">XX</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nato  </w:t>
      </w:r>
      <w:r w:rsidDel="00000000" w:rsidR="00000000" w:rsidRPr="00000000">
        <w:rPr>
          <w:b w:val="1"/>
          <w:bCs w:val="1"/>
          <w:i w:val="1"/>
          <w:iCs w:val="1"/>
          <w:sz w:val="24"/>
          <w:szCs w:val="24"/>
          <w:rtl w:val="0"/>
        </w:rPr>
        <w:t xml:space="preserve">XX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detenuto presso la Casa  circondariale della </w:t>
      </w:r>
      <w:r w:rsidDel="00000000" w:rsidR="00000000" w:rsidRPr="00000000">
        <w:rPr>
          <w:b w:val="1"/>
          <w:bCs w:val="1"/>
          <w:i w:val="1"/>
          <w:iCs w:val="1"/>
          <w:sz w:val="24"/>
          <w:szCs w:val="24"/>
          <w:rtl w:val="0"/>
        </w:rPr>
        <w:t xml:space="preserve">XX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disposta con sentenza del TRIBUNALE della SPEZIA emessa in data</w:t>
      </w:r>
      <w:r w:rsidDel="00000000" w:rsidR="00000000" w:rsidRPr="00000000">
        <w:rPr>
          <w:sz w:val="24"/>
          <w:szCs w:val="24"/>
          <w:rtl w:val="0"/>
        </w:rPr>
        <w:t xml:space="preserve"> 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fine pena al </w:t>
      </w:r>
      <w:r w:rsidDel="00000000" w:rsidR="00000000" w:rsidRPr="00000000">
        <w:rPr>
          <w:b w:val="1"/>
          <w:bCs w:val="1"/>
          <w:sz w:val="24"/>
          <w:szCs w:val="24"/>
          <w:rtl w:val="0"/>
        </w:rPr>
        <w:t xml:space="preserve">XX</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difeso dall’avvocato </w:t>
      </w:r>
      <w:r w:rsidDel="00000000" w:rsidR="00000000" w:rsidRPr="00000000">
        <w:rPr>
          <w:sz w:val="24"/>
          <w:szCs w:val="24"/>
          <w:rtl w:val="0"/>
        </w:rPr>
        <w:t xml:space="preserve">XX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 foro di </w:t>
      </w:r>
      <w:r w:rsidDel="00000000" w:rsidR="00000000" w:rsidRPr="00000000">
        <w:rPr>
          <w:sz w:val="24"/>
          <w:szCs w:val="24"/>
          <w:rtl w:val="0"/>
        </w:rPr>
        <w:t xml:space="preserve">XX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fiducia;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vista la richiesta di accertamento della pericolosità sociale ai fini della dichiarazione di eseguibilità della misura inoltrata dalla Procura della Repubblica presso il Tribunale di MASSA in data</w:t>
      </w:r>
      <w:r w:rsidDel="00000000" w:rsidR="00000000" w:rsidRPr="00000000">
        <w:rPr>
          <w:sz w:val="24"/>
          <w:szCs w:val="24"/>
          <w:rtl w:val="0"/>
        </w:rPr>
        <w:t xml:space="preserve"> 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rilevato che si deve procedere, ai sensi dell’art. 679 c.p.p., all’esito della esecuzione pena, all’accertamento della pericolosità sociale attuale del predetto al fine di decidere in ordine alla effettiva esecuzione della misura di sicurezza sopra indicata;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Considerato, in ordine alle prospettive del condannato che lo stesso è privo del permesso di soggiorno  per cui si trova in Italia in posizione di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irregolare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ed allo stato risulta non avere alcuna valida opportunità occupazionale, né alcun riferimento familiare esterno nel nostro PAESE;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Atteso che il detenuto, che sta espiando una condanna per TENTATO OMICIDIO del</w:t>
      </w:r>
      <w:r w:rsidDel="00000000" w:rsidR="00000000" w:rsidRPr="00000000">
        <w:rPr>
          <w:sz w:val="24"/>
          <w:szCs w:val="24"/>
          <w:rtl w:val="0"/>
        </w:rPr>
        <w:t xml:space="preserve"> 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 rappresentato di versare in precarie condizioni di salute, in quanto affetto da diabete mellito tipo due, disturbo dell’adattamento  e di aver ottenuto il riconoscimento dell’invalidita’ civile al 75% , e di avere la necessita’ di essere sottoposto ad adeguate terapie non disponibili nel paese di origine;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Ritenuto che le predette condizioni di salute non risultano di gravita’ tale da impedire il rientro del detenuto al paese di origine , non trattandosi di terapie c.d. “salvavita”;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rilevato che è dunque ragionevole ritenere che, in caso di permanenza nel territorio nazionale, l’interessato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verrebbe a trovarsi nelle medesime condizioni di vita, individuale e sociale, che lo hanno già portato a commettere reati, e che, pertanto, alla luce dei parametri di cui all’art. 133 c.p., deve essere confermato il giudizio di pericolosità sociale - intesa come probabile reiterazione di condotte criminose - e deve essere conseguentemente dichiarata l’eseguibilità della misura di sicurezza già ordinata in sentenza.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P.Q.M.</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Visti gli artt. 202 e 203 c.p.,  679 c.p.p. e 190 disp. att.,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sentito il parere conforme del P.M.,</w:t>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DICHIARA SUSSISTENTE la PERICOLOSITA’ SOCIALE e pertanto ESEGUIBILE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misura di sicurezza della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ESPULSIONE  dal TERRITORIO DELLO STATO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irrogata a </w:t>
      </w:r>
      <w:r w:rsidDel="00000000" w:rsidR="00000000" w:rsidRPr="00000000">
        <w:rPr>
          <w:b w:val="1"/>
          <w:bCs w:val="1"/>
          <w:i w:val="1"/>
          <w:iCs w:val="1"/>
          <w:sz w:val="24"/>
          <w:szCs w:val="24"/>
          <w:rtl w:val="0"/>
        </w:rPr>
        <w:t xml:space="preserve">XX</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come sopra generalizzato</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disposta con sentenza del TRIBUNALE della SPEZIA emessa in data</w:t>
      </w:r>
      <w:r w:rsidDel="00000000" w:rsidR="00000000" w:rsidRPr="00000000">
        <w:rPr>
          <w:sz w:val="24"/>
          <w:szCs w:val="24"/>
          <w:rtl w:val="0"/>
        </w:rPr>
        <w:t xml:space="preserve"> 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MANDA AL PM della SPEZIA per l’esecuzione.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MASSA  14 novembre 2023</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Il Magistrato di Sorveglianza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r w:rsidDel="00000000" w:rsidR="00000000" w:rsidRPr="00000000">
        <w:rPr>
          <w:b w:val="1"/>
          <w:bCs w:val="1"/>
          <w:i w:val="1"/>
          <w:iCs w:val="1"/>
          <w:sz w:val="24"/>
          <w:szCs w:val="24"/>
          <w:rtl w:val="0"/>
        </w:rPr>
        <w:t xml:space="preserve">XX</w:t>
      </w:r>
      <w:r w:rsidDel="00000000" w:rsidR="00000000" w:rsidRPr="00000000">
        <w:rPr>
          <w:rtl w:val="0"/>
        </w:rPr>
      </w:r>
    </w:p>
    <w:sectPr>
      <w:headerReference r:id="rId7" w:type="default"/>
      <w:headerReference r:id="rId8" w:type="first"/>
      <w:footerReference r:id="rId9" w:type="default"/>
      <w:footerReference r:id="rId10" w:type="first"/>
      <w:pgSz w:h="16840" w:w="11907" w:orient="portrait"/>
      <w:pgMar w:bottom="1134" w:top="1418" w:left="1134" w:right="1304" w:header="56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lonna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lonna MT" w:cs="Colonna MT" w:eastAsia="Colonna MT" w:hAnsi="Colonna MT"/>
        <w:b w:val="0"/>
        <w:bCs w:val="0"/>
        <w:i w:val="0"/>
        <w:iCs w:val="0"/>
        <w:smallCaps w:val="0"/>
        <w:strike w:val="0"/>
        <w:color w:val="000000"/>
        <w:sz w:val="24"/>
        <w:szCs w:val="24"/>
        <w:u w:val="none"/>
        <w:shd w:fill="auto" w:val="clear"/>
        <w:vertAlign w:val="baseline"/>
      </w:rPr>
    </w:pPr>
    <w:r w:rsidDel="00000000" w:rsidR="00000000" w:rsidRPr="00000000">
      <w:rPr>
        <w:rFonts w:ascii="Colonna MT" w:cs="Colonna MT" w:eastAsia="Colonna MT" w:hAnsi="Colonna MT"/>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olonna MT" w:cs="Colonna MT" w:eastAsia="Colonna MT" w:hAnsi="Colonna MT"/>
        <w:b w:val="0"/>
        <w:bCs w:val="0"/>
        <w:i w:val="0"/>
        <w:iCs w:val="0"/>
        <w:smallCaps w:val="0"/>
        <w:strike w:val="0"/>
        <w:color w:val="000000"/>
        <w:sz w:val="24"/>
        <w:szCs w:val="24"/>
        <w:u w:val="none"/>
        <w:shd w:fill="auto" w:val="clear"/>
        <w:vertAlign w:val="baseline"/>
      </w:rPr>
    </w:pPr>
    <w:r w:rsidDel="00000000" w:rsidR="00000000" w:rsidRPr="00000000">
      <w:rPr>
        <w:rFonts w:ascii="Colonna MT" w:cs="Colonna MT" w:eastAsia="Colonna MT" w:hAnsi="Colonna MT"/>
        <w:b w:val="0"/>
        <w:bCs w:val="0"/>
        <w:i w:val="0"/>
        <w:iCs w:val="0"/>
        <w:smallCaps w:val="0"/>
        <w:strike w:val="0"/>
        <w:color w:val="000000"/>
        <w:sz w:val="24"/>
        <w:szCs w:val="24"/>
        <w:u w:val="none"/>
        <w:shd w:fill="auto" w:val="clear"/>
        <w:vertAlign w:val="baseline"/>
        <w:rtl w:val="0"/>
      </w:rPr>
      <w:t xml:space="preserve">                                                                                                                                                pagina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lonna MT" w:cs="Colonna MT" w:eastAsia="Colonna MT" w:hAnsi="Colonna MT"/>
        <w:b w:val="0"/>
        <w:bCs w:val="0"/>
        <w:i w:val="0"/>
        <w:iCs w:val="0"/>
        <w:smallCaps w:val="0"/>
        <w:strike w:val="0"/>
        <w:color w:val="000000"/>
        <w:sz w:val="32"/>
        <w:szCs w:val="32"/>
        <w:u w:val="none"/>
        <w:shd w:fill="auto" w:val="clear"/>
        <w:vertAlign w:val="baseline"/>
      </w:rPr>
    </w:pPr>
    <w:r w:rsidDel="00000000" w:rsidR="00000000" w:rsidRPr="00000000">
      <w:rPr>
        <w:rFonts w:ascii="Colonna MT" w:cs="Colonna MT" w:eastAsia="Colonna MT" w:hAnsi="Colonna MT"/>
        <w:b w:val="0"/>
        <w:bCs w:val="0"/>
        <w:i w:val="1"/>
        <w:iCs w:val="1"/>
        <w:smallCaps w:val="0"/>
        <w:strike w:val="0"/>
        <w:color w:val="000000"/>
        <w:sz w:val="32"/>
        <w:szCs w:val="32"/>
        <w:u w:val="none"/>
        <w:shd w:fill="auto" w:val="clear"/>
        <w:vertAlign w:val="baseline"/>
        <w:rtl w:val="0"/>
      </w:rPr>
      <w:t xml:space="preserve">Procura della Repubblica presso il Tribunale di Firenze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FBp4SX4j/ItO7542IIizlUI/Mw==">CgMxLjA4AHIhMWtvVXBHalJlZUFhckFyR0NCYUJDU0lHYmoyM21RWk4z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